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zwaną/ym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1"/>
      <w:r w:rsidR="00857086">
        <w:rPr>
          <w:rFonts w:ascii="Arial" w:hAnsi="Arial" w:cs="Arial"/>
          <w:sz w:val="20"/>
          <w:szCs w:val="20"/>
        </w:rPr>
        <w:t xml:space="preserve"> </w:t>
      </w:r>
      <w:bookmarkStart w:id="2" w:name="_Hlk197611471"/>
      <w:r w:rsidR="006C1BAF">
        <w:rPr>
          <w:rFonts w:ascii="Arial" w:hAnsi="Arial" w:cs="Arial"/>
          <w:sz w:val="20"/>
          <w:szCs w:val="20"/>
        </w:rPr>
        <w:t>albo rozporządzeniem ogólnym</w:t>
      </w:r>
      <w:r w:rsidR="00857086">
        <w:rPr>
          <w:rFonts w:ascii="Arial" w:hAnsi="Arial" w:cs="Arial"/>
          <w:sz w:val="20"/>
          <w:szCs w:val="20"/>
        </w:rPr>
        <w:t>;</w:t>
      </w:r>
      <w:bookmarkEnd w:id="2"/>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minimis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3"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3"/>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dzielania pomocy de minimis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5"/>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w:t>
      </w:r>
      <w:r w:rsidR="00E80D63">
        <w:rPr>
          <w:rFonts w:ascii="Arial" w:hAnsi="Arial" w:cs="Arial"/>
          <w:bCs/>
          <w:sz w:val="20"/>
          <w:szCs w:val="20"/>
        </w:rPr>
        <w:t>e</w:t>
      </w:r>
      <w:r w:rsidRPr="00C763BB">
        <w:rPr>
          <w:rFonts w:ascii="Arial" w:hAnsi="Arial" w:cs="Arial"/>
          <w:bCs/>
          <w:sz w:val="20"/>
          <w:szCs w:val="20"/>
        </w:rPr>
        <w:t>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7" w:name="_Hlk197611778"/>
      <w:r w:rsidR="00F05942">
        <w:rPr>
          <w:rFonts w:ascii="Arial" w:hAnsi="Arial" w:cs="Arial"/>
          <w:sz w:val="20"/>
          <w:szCs w:val="20"/>
        </w:rPr>
        <w:t>zwanym dalej RODO</w:t>
      </w:r>
      <w:bookmarkEnd w:id="7"/>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8"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8"/>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Euratom) nr </w:t>
      </w:r>
      <w:bookmarkStart w:id="9"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9"/>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0" w:name="_Hlk197611863"/>
      <w:r w:rsidR="00F05942">
        <w:rPr>
          <w:rFonts w:ascii="Arial" w:hAnsi="Arial" w:cs="Arial"/>
          <w:sz w:val="20"/>
          <w:szCs w:val="20"/>
        </w:rPr>
        <w:t>wdrożeniowej</w:t>
      </w:r>
      <w:bookmarkEnd w:id="10"/>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1"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1"/>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2"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2"/>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3"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3"/>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Pzp”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„ustawie ufp”</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4"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4"/>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5" w:name="_Hlk132791213"/>
      <w:r w:rsidRPr="00B85F0B">
        <w:rPr>
          <w:rFonts w:ascii="Arial" w:hAnsi="Arial" w:cs="Arial"/>
          <w:sz w:val="20"/>
          <w:szCs w:val="20"/>
        </w:rPr>
        <w:t>wydatków na lata 2021-2027</w:t>
      </w:r>
      <w:bookmarkEnd w:id="15"/>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6"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6"/>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7" w:name="_Hlk166072426"/>
      <w:r w:rsidRPr="002A4AA8">
        <w:rPr>
          <w:rFonts w:ascii="Arial" w:hAnsi="Arial" w:cs="Arial"/>
          <w:sz w:val="20"/>
          <w:szCs w:val="20"/>
        </w:rPr>
        <w:t>wydatki w ramach cross-financingu</w:t>
      </w:r>
      <w:bookmarkEnd w:id="17"/>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minimis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minimis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w szczególności weryfikacji poziomu otrzymanej pomocy w Systemie Udostępniania Danych o Pomocy Publicznej przed udzieleniem pomocy de minimis</w:t>
      </w:r>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9"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0" w:name="_Hlk5345834"/>
      <w:bookmarkStart w:id="21"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0"/>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9"/>
    <w:bookmarkEnd w:id="21"/>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2" w:name="_Hlk5345882"/>
      <w:r w:rsidRPr="002A4AA8">
        <w:rPr>
          <w:rFonts w:ascii="Arial" w:hAnsi="Arial" w:cs="Arial"/>
          <w:sz w:val="20"/>
          <w:szCs w:val="20"/>
        </w:rPr>
        <w:t xml:space="preserve">za pośrednictwem </w:t>
      </w:r>
      <w:bookmarkEnd w:id="22"/>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lastRenderedPageBreak/>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3"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3"/>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4"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4"/>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itp…</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5"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6" w:name="_Hlk136332130"/>
      <w:bookmarkEnd w:id="25"/>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7" w:name="_Hlk136332138"/>
      <w:bookmarkEnd w:id="26"/>
      <w:r w:rsidRPr="00E467AA">
        <w:rPr>
          <w:rFonts w:ascii="Arial" w:hAnsi="Arial" w:cs="Arial"/>
          <w:sz w:val="20"/>
          <w:szCs w:val="20"/>
        </w:rPr>
        <w:t xml:space="preserve">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w:t>
      </w:r>
      <w:r w:rsidRPr="00E467AA">
        <w:rPr>
          <w:rFonts w:ascii="Arial" w:hAnsi="Arial" w:cs="Arial"/>
          <w:sz w:val="20"/>
          <w:szCs w:val="20"/>
        </w:rPr>
        <w:lastRenderedPageBreak/>
        <w:t>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7"/>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8"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8"/>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lastRenderedPageBreak/>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9"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9"/>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lastRenderedPageBreak/>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0"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0"/>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1" w:name="_Hlk158210788"/>
      <w:r w:rsidRPr="001D5633">
        <w:rPr>
          <w:rFonts w:ascii="Arial" w:hAnsi="Arial" w:cs="Arial"/>
          <w:sz w:val="20"/>
          <w:szCs w:val="20"/>
        </w:rPr>
        <w:t>transferowego</w:t>
      </w:r>
      <w:bookmarkEnd w:id="31"/>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lastRenderedPageBreak/>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3"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3"/>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4"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4"/>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r w:rsidR="00CC081D" w:rsidRPr="00761C38">
        <w:rPr>
          <w:rFonts w:ascii="Arial" w:hAnsi="Arial" w:cs="Arial"/>
          <w:sz w:val="20"/>
          <w:szCs w:val="20"/>
        </w:rPr>
        <w:t xml:space="preserve">t.j.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ustawy Pzp</w:t>
      </w:r>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lastRenderedPageBreak/>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6"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6"/>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lastRenderedPageBreak/>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7"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7"/>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zgodnie z art. 189 ustęp 3 Ufp.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lastRenderedPageBreak/>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8"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8"/>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lastRenderedPageBreak/>
        <w:t>14 czerwca 1960 r. Kodeks postępowania administracyjnego</w:t>
      </w:r>
      <w:r w:rsidR="002C5C41" w:rsidRPr="002A4AA8">
        <w:rPr>
          <w:rFonts w:ascii="Arial" w:hAnsi="Arial" w:cs="Arial"/>
          <w:sz w:val="20"/>
          <w:szCs w:val="20"/>
        </w:rPr>
        <w:t xml:space="preserve"> (</w:t>
      </w:r>
      <w:r w:rsidR="00D018CB" w:rsidRPr="002A4AA8">
        <w:rPr>
          <w:rFonts w:ascii="Arial" w:hAnsi="Arial" w:cs="Arial"/>
          <w:sz w:val="20"/>
          <w:szCs w:val="20"/>
        </w:rPr>
        <w:t xml:space="preserve">t.j.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w:t>
      </w:r>
      <w:r w:rsidRPr="002A4AA8">
        <w:rPr>
          <w:rFonts w:ascii="Arial" w:hAnsi="Arial" w:cs="Arial"/>
          <w:sz w:val="20"/>
          <w:szCs w:val="20"/>
        </w:rPr>
        <w:lastRenderedPageBreak/>
        <w:t xml:space="preserve">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art. 3 ustawy Pzp</w:t>
      </w:r>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9" w:name="_Hlk133224415"/>
      <w:r w:rsidR="00B503A8">
        <w:rPr>
          <w:rFonts w:ascii="Arial" w:hAnsi="Arial" w:cs="Arial"/>
          <w:sz w:val="20"/>
          <w:szCs w:val="20"/>
        </w:rPr>
        <w:t>CST2021</w:t>
      </w:r>
      <w:bookmarkEnd w:id="39"/>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lastRenderedPageBreak/>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0"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de minimis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0"/>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lastRenderedPageBreak/>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1" w:name="_Hlk132963866"/>
      <w:r w:rsidRPr="002A4AA8">
        <w:rPr>
          <w:rFonts w:ascii="Arial" w:hAnsi="Arial" w:cs="Arial"/>
          <w:sz w:val="20"/>
          <w:szCs w:val="20"/>
        </w:rPr>
        <w:lastRenderedPageBreak/>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1"/>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ustawą Pzp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3"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3"/>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4"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4"/>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w:t>
      </w:r>
      <w:r w:rsidR="00747D08">
        <w:rPr>
          <w:rFonts w:ascii="Arial" w:hAnsi="Arial" w:cs="Arial"/>
          <w:sz w:val="20"/>
          <w:szCs w:val="20"/>
        </w:rPr>
        <w:t xml:space="preserve">ako </w:t>
      </w:r>
      <w:r w:rsidRPr="00B30843">
        <w:rPr>
          <w:rFonts w:ascii="Arial" w:hAnsi="Arial" w:cs="Arial"/>
          <w:sz w:val="20"/>
          <w:szCs w:val="20"/>
        </w:rPr>
        <w:t xml:space="preserve">samodzielny administrator danych osobowych w rozumieniu art. 4 pkt 7 RODO, udostępnia dane osobowe innym administratorom danych osobowych (w tym Instytucji </w:t>
      </w:r>
      <w:r w:rsidRPr="00B30843">
        <w:rPr>
          <w:rFonts w:ascii="Arial" w:hAnsi="Arial" w:cs="Arial"/>
          <w:sz w:val="20"/>
          <w:szCs w:val="20"/>
        </w:rPr>
        <w:lastRenderedPageBreak/>
        <w:t>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lastRenderedPageBreak/>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6" w:name="_Hlk188450773"/>
      <w:r w:rsidR="004155F4">
        <w:rPr>
          <w:rFonts w:ascii="Arial" w:eastAsia="Calibri" w:hAnsi="Arial" w:cs="Arial"/>
          <w:sz w:val="20"/>
          <w:szCs w:val="20"/>
        </w:rPr>
        <w:t>MFiPR</w:t>
      </w:r>
      <w:bookmarkEnd w:id="46"/>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7" w:name="_Hlk188450808"/>
      <w:r w:rsidR="004155F4">
        <w:rPr>
          <w:rFonts w:ascii="Arial" w:eastAsia="Calibri" w:hAnsi="Arial" w:cs="Arial"/>
          <w:sz w:val="20"/>
          <w:szCs w:val="20"/>
          <w:lang w:bidi="pl-PL"/>
        </w:rPr>
        <w:t xml:space="preserve">oraz na adres </w:t>
      </w:r>
      <w:r w:rsidR="004155F4" w:rsidRPr="004155F4">
        <w:rPr>
          <w:rFonts w:ascii="Arial" w:eastAsia="Calibri" w:hAnsi="Arial" w:cs="Arial"/>
          <w:sz w:val="20"/>
          <w:szCs w:val="20"/>
          <w:lang w:bidi="pl-PL"/>
        </w:rPr>
        <w:t>MFiPR</w:t>
      </w:r>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7"/>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IP. Po bezskutecznym upływie terminu do zwrotu, następuje on w trybie i na zasadach określonych w art. 207 ufp.</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lastRenderedPageBreak/>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 xml:space="preserve">(t.j.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Pzp,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minimis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Rozporządzenie Komisji (UE) 2023/2831 z dnia 13 grudnia 2023 r. w sprawie stosowania art. 107 i 108 Traktatu o funkcjonowaniu Unii Europejskiej do pomocy de minimis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minimis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w przypadku pomocy de minimis:</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dopuszczalnego pułapu pomocy de minimis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i pomocy de minimis,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wydawania Beneficjentom pomocy zaświadczeń o pomocy de minimis.</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2A4AA8">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3"/>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4"/>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lastRenderedPageBreak/>
        <w:t xml:space="preserve">Beneficjent nie przestrzega zapisów ustawy </w:t>
      </w:r>
      <w:r w:rsidR="00F26018" w:rsidRPr="0005369E">
        <w:rPr>
          <w:rFonts w:ascii="Arial" w:hAnsi="Arial" w:cs="Arial"/>
          <w:sz w:val="20"/>
          <w:szCs w:val="20"/>
        </w:rPr>
        <w:t xml:space="preserve">Pzp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8"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rozwiązaniu umowy</w:t>
      </w:r>
      <w:bookmarkEnd w:id="48"/>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49"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49"/>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0"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0"/>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lastRenderedPageBreak/>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r w:rsidR="00E10568" w:rsidRPr="00E10568">
        <w:rPr>
          <w:rFonts w:ascii="Arial" w:hAnsi="Arial" w:cs="Arial"/>
          <w:sz w:val="20"/>
          <w:szCs w:val="20"/>
        </w:rPr>
        <w:t xml:space="preserve">t.j.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z</w:t>
      </w:r>
      <w:r w:rsidR="005F7A0A">
        <w:rPr>
          <w:rFonts w:ascii="Arial" w:hAnsi="Arial" w:cs="Arial"/>
          <w:sz w:val="20"/>
          <w:szCs w:val="20"/>
        </w:rPr>
        <w:t>e</w:t>
      </w:r>
      <w:r w:rsidR="00E10568" w:rsidRPr="00E10568">
        <w:rPr>
          <w:rFonts w:ascii="Arial" w:hAnsi="Arial" w:cs="Arial"/>
          <w:sz w:val="20"/>
          <w:szCs w:val="20"/>
        </w:rPr>
        <w:t>zm</w:t>
      </w:r>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 xml:space="preserve">(t.j.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 xml:space="preserve">(t.j.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2"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2"/>
      <w:r w:rsidRPr="00FF0F6D">
        <w:rPr>
          <w:rFonts w:ascii="Arial" w:eastAsiaTheme="minorHAnsi" w:hAnsi="Arial" w:cs="Arial"/>
          <w:sz w:val="20"/>
          <w:szCs w:val="20"/>
        </w:rPr>
        <w:t xml:space="preserve">w sprawie udzielania pomocy de minimis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lastRenderedPageBreak/>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9"/>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4" w:name="_Hlk5344472"/>
      <w:bookmarkStart w:id="55"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4"/>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8" w:name="RANGE!B6:H23"/>
            <w:r w:rsidRPr="00E505B6">
              <w:rPr>
                <w:rFonts w:ascii="Arial" w:hAnsi="Arial" w:cs="Arial"/>
                <w:bCs/>
                <w:sz w:val="14"/>
                <w:szCs w:val="14"/>
              </w:rPr>
              <w:t xml:space="preserve">transza (suma środków bieżących i majątkowych) </w:t>
            </w:r>
            <w:bookmarkEnd w:id="58"/>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59"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59"/>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20"/>
          <w:headerReference w:type="first" r:id="rId21"/>
          <w:pgSz w:w="11906" w:h="16838" w:code="9"/>
          <w:pgMar w:top="1418" w:right="1418" w:bottom="1418" w:left="1418" w:header="709" w:footer="709" w:gutter="0"/>
          <w:cols w:space="708"/>
          <w:titlePg/>
          <w:docGrid w:linePitch="360"/>
        </w:sectPr>
      </w:pPr>
    </w:p>
    <w:bookmarkEnd w:id="55"/>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0"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0"/>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22"/>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2" w:name="_Hlk206068880"/>
      <w:r w:rsidRPr="00B02EAE">
        <w:rPr>
          <w:rFonts w:ascii="Arial" w:hAnsi="Arial" w:cs="Arial"/>
          <w:b/>
          <w:bCs/>
          <w:spacing w:val="4"/>
          <w:sz w:val="20"/>
          <w:szCs w:val="20"/>
        </w:rPr>
        <w:t xml:space="preserve">Oświadczam, że otrzymałam/łem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2"/>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3"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63"/>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/am</w:t>
      </w:r>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Oświadczam, że zapoznałem/am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Zobowiązuję się do zachowania w tajemnicy przetwarzanych danych osobowych, z którymi zapoznałem/am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3"/>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4"/>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4"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4"/>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pełnokolorowy)</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9"/>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8"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31"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0"/>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(fonty oraz elementy zeskaluj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#FunduszeUE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#FunduszeEuropejskie.</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zawsze w wariancie pełnokolorowym</w:t>
      </w:r>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przez Unię Europejską - NextGenerationEU”.</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Dofinansowane przez Unię Europejską – NextGenerationEU</w:t>
      </w:r>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6"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7"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8"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9" w:history="1">
        <w:r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40"/>
          <w:pgSz w:w="11906" w:h="16838" w:code="9"/>
          <w:pgMar w:top="1418" w:right="1418" w:bottom="1418" w:left="1418" w:header="709" w:footer="709" w:gutter="0"/>
          <w:cols w:space="708"/>
          <w:titlePg/>
          <w:docGrid w:linePitch="299"/>
        </w:sectPr>
      </w:pPr>
      <w:bookmarkStart w:id="65" w:name="_Toc415586295"/>
      <w:bookmarkStart w:id="66" w:name="_Toc405543194"/>
      <w:bookmarkStart w:id="67" w:name="_Toc405560047"/>
      <w:bookmarkStart w:id="68" w:name="_Toc405560117"/>
      <w:bookmarkStart w:id="69" w:name="_Toc405905519"/>
      <w:bookmarkStart w:id="70" w:name="_Toc406085432"/>
      <w:bookmarkStart w:id="71" w:name="_Toc406086720"/>
      <w:bookmarkStart w:id="72" w:name="_Toc406086911"/>
      <w:bookmarkStart w:id="73" w:name="_Toc406087003"/>
      <w:bookmarkStart w:id="74" w:name="_Toc405543209"/>
      <w:bookmarkStart w:id="75" w:name="_Toc405560065"/>
      <w:bookmarkStart w:id="76" w:name="_Toc405560135"/>
      <w:bookmarkStart w:id="77" w:name="_Toc405905537"/>
      <w:bookmarkStart w:id="78" w:name="_Toc406085451"/>
      <w:bookmarkStart w:id="79" w:name="_Toc406086739"/>
      <w:bookmarkStart w:id="80" w:name="_Toc406086930"/>
      <w:bookmarkStart w:id="81" w:name="_Toc406087022"/>
      <w:bookmarkStart w:id="82" w:name="_Toc405543211"/>
      <w:bookmarkStart w:id="83" w:name="_Toc405560067"/>
      <w:bookmarkStart w:id="84" w:name="_Toc405560137"/>
      <w:bookmarkStart w:id="85" w:name="_Toc405905539"/>
      <w:bookmarkStart w:id="86" w:name="_Toc406085453"/>
      <w:bookmarkStart w:id="87" w:name="_Toc406086741"/>
      <w:bookmarkStart w:id="88" w:name="_Toc406086932"/>
      <w:bookmarkStart w:id="89" w:name="_Toc406087024"/>
      <w:bookmarkStart w:id="90" w:name="_Toc488235590"/>
      <w:bookmarkStart w:id="91" w:name="_Toc488235716"/>
      <w:bookmarkStart w:id="92" w:name="_Toc488324554"/>
      <w:bookmarkStart w:id="93" w:name="_Toc415586316"/>
      <w:bookmarkStart w:id="94" w:name="_Toc415586319"/>
      <w:bookmarkStart w:id="95" w:name="_Toc415586321"/>
      <w:bookmarkStart w:id="96" w:name="_Toc415586322"/>
      <w:bookmarkStart w:id="97" w:name="_Toc415586323"/>
      <w:bookmarkStart w:id="98" w:name="_Toc415586324"/>
      <w:bookmarkStart w:id="99" w:name="_Toc415586325"/>
      <w:bookmarkStart w:id="100" w:name="_Toc488235597"/>
      <w:bookmarkStart w:id="101" w:name="_Toc488235723"/>
      <w:bookmarkStart w:id="102" w:name="_Toc488324561"/>
      <w:bookmarkStart w:id="103" w:name="_Toc488235598"/>
      <w:bookmarkStart w:id="104" w:name="_Toc488235724"/>
      <w:bookmarkStart w:id="105" w:name="_Toc488324562"/>
      <w:bookmarkStart w:id="106" w:name="_Toc406086914"/>
      <w:bookmarkStart w:id="107" w:name="_Toc406087006"/>
      <w:bookmarkStart w:id="108" w:name="_Toc407625471"/>
      <w:bookmarkStart w:id="109" w:name="_Toc406085437"/>
      <w:bookmarkStart w:id="110" w:name="_Toc406086725"/>
      <w:bookmarkStart w:id="111" w:name="_Toc406086916"/>
      <w:bookmarkStart w:id="112" w:name="_Toc406087008"/>
      <w:bookmarkStart w:id="113" w:name="_Toc405560069"/>
      <w:bookmarkStart w:id="114" w:name="_Toc405560139"/>
      <w:bookmarkStart w:id="115" w:name="_Toc405905541"/>
      <w:bookmarkStart w:id="116" w:name="_Toc406085455"/>
      <w:bookmarkStart w:id="117" w:name="_Toc406086743"/>
      <w:bookmarkStart w:id="118" w:name="_Toc406086934"/>
      <w:bookmarkStart w:id="119" w:name="_Toc406087026"/>
      <w:bookmarkStart w:id="120" w:name="_Toc405560070"/>
      <w:bookmarkStart w:id="121" w:name="_Toc405560140"/>
      <w:bookmarkStart w:id="122" w:name="_Toc405905542"/>
      <w:bookmarkStart w:id="123" w:name="_Toc406085456"/>
      <w:bookmarkStart w:id="124" w:name="_Toc406086744"/>
      <w:bookmarkStart w:id="125" w:name="_Toc406086935"/>
      <w:bookmarkStart w:id="126" w:name="_Toc406087027"/>
      <w:bookmarkStart w:id="127" w:name="_Toc406086938"/>
      <w:bookmarkStart w:id="128" w:name="_Toc406087030"/>
      <w:bookmarkStart w:id="129" w:name="_Toc406086940"/>
      <w:bookmarkStart w:id="130" w:name="_Toc406087032"/>
      <w:bookmarkStart w:id="131" w:name="_Toc406086945"/>
      <w:bookmarkStart w:id="132" w:name="_Toc406087037"/>
      <w:bookmarkStart w:id="133" w:name="_Toc406086947"/>
      <w:bookmarkStart w:id="134" w:name="_Toc406087039"/>
      <w:bookmarkStart w:id="135" w:name="_Toc406086954"/>
      <w:bookmarkStart w:id="136" w:name="_Toc406087046"/>
      <w:bookmarkStart w:id="137" w:name="_Toc406086957"/>
      <w:bookmarkStart w:id="138" w:name="_Toc406087049"/>
      <w:bookmarkStart w:id="139" w:name="_Toc415586344"/>
      <w:bookmarkStart w:id="140" w:name="_Toc415586346"/>
      <w:bookmarkStart w:id="141" w:name="_Toc415586347"/>
      <w:bookmarkStart w:id="142" w:name="_Toc405543179"/>
      <w:bookmarkStart w:id="143" w:name="_Toc405560032"/>
      <w:bookmarkStart w:id="144" w:name="_Toc405560102"/>
      <w:bookmarkStart w:id="145" w:name="_Toc405905504"/>
      <w:bookmarkStart w:id="146" w:name="_Toc406085416"/>
      <w:bookmarkStart w:id="147" w:name="_Toc406086704"/>
      <w:bookmarkStart w:id="148" w:name="_Toc406086895"/>
      <w:bookmarkStart w:id="149" w:name="_Toc406086987"/>
      <w:bookmarkStart w:id="150" w:name="_Toc405543183"/>
      <w:bookmarkStart w:id="151" w:name="_Toc405560036"/>
      <w:bookmarkStart w:id="152" w:name="_Toc405560106"/>
      <w:bookmarkStart w:id="153" w:name="_Toc405905508"/>
      <w:bookmarkStart w:id="154" w:name="_Toc406085420"/>
      <w:bookmarkStart w:id="155" w:name="_Toc406086708"/>
      <w:bookmarkStart w:id="156" w:name="_Toc406086899"/>
      <w:bookmarkStart w:id="157" w:name="_Toc406086991"/>
      <w:bookmarkStart w:id="158" w:name="_Toc488324595"/>
      <w:bookmarkStart w:id="159" w:name="_Toc407619989"/>
      <w:bookmarkStart w:id="160" w:name="_Toc407625463"/>
      <w:bookmarkStart w:id="161" w:name="_Toc405543188"/>
      <w:bookmarkStart w:id="162" w:name="_Toc405560041"/>
      <w:bookmarkStart w:id="163" w:name="_Toc405560111"/>
      <w:bookmarkStart w:id="164" w:name="_Toc405905513"/>
      <w:bookmarkStart w:id="165" w:name="_Toc406085425"/>
      <w:bookmarkStart w:id="166" w:name="_Toc406086713"/>
      <w:bookmarkStart w:id="167" w:name="_Toc406086904"/>
      <w:bookmarkStart w:id="168" w:name="_Toc406086996"/>
      <w:bookmarkStart w:id="169" w:name="_Toc405543192"/>
      <w:bookmarkStart w:id="170" w:name="_Toc405560045"/>
      <w:bookmarkStart w:id="171" w:name="_Toc405560115"/>
      <w:bookmarkStart w:id="172" w:name="_Toc405905517"/>
      <w:bookmarkStart w:id="173" w:name="_Toc406085429"/>
      <w:bookmarkStart w:id="174" w:name="_Toc406086717"/>
      <w:bookmarkStart w:id="175" w:name="_Toc406086908"/>
      <w:bookmarkStart w:id="176" w:name="_Toc40608700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niezgodnie z wzorem określonym w załączniku nr… do UoD</w:t>
            </w:r>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niezgodnie ze wzorem i wytycznymi określonymi w pkt … załącznika nr… do UoD</w:t>
            </w:r>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41"/>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publiczna dystrybucja utworów lub ich kopii we wszelkich formach (np. książka, broszura, CD, kanał youtube,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r w:rsidRPr="004C5DD9">
        <w:rPr>
          <w:rFonts w:ascii="Arial" w:hAnsi="Arial" w:cs="Arial"/>
          <w:sz w:val="20"/>
          <w:szCs w:val="20"/>
        </w:rPr>
        <w:t>t.j.)</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t.j.);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7"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7"/>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42"/>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byłe/am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00,00 pln</w:t>
      </w:r>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schodołazu.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sporządzone w oparciu o rozporządzenie Ministra Finansów z dnia 2 marca 2010 r. w sprawie szczegółowej klasyfikacji dochodów, wydatków, przychodów i rozchodów oraz środków pochodzących ze źródeł zagranicznych (t.j.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2AC8B" w14:textId="77777777" w:rsidR="00EC0DE3" w:rsidRDefault="00EC0DE3" w:rsidP="009D490C">
      <w:r>
        <w:separator/>
      </w:r>
    </w:p>
  </w:endnote>
  <w:endnote w:type="continuationSeparator" w:id="0">
    <w:p w14:paraId="7330917B" w14:textId="77777777" w:rsidR="00EC0DE3" w:rsidRDefault="00EC0DE3" w:rsidP="009D490C">
      <w:r>
        <w:continuationSeparator/>
      </w:r>
    </w:p>
  </w:endnote>
  <w:endnote w:type="continuationNotice" w:id="1">
    <w:p w14:paraId="1B3683FA" w14:textId="77777777" w:rsidR="00EC0DE3" w:rsidRDefault="00EC0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CCAC2" w14:textId="77777777" w:rsidR="00D1183A" w:rsidRDefault="00D118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883E" w14:textId="31D4F835"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D1183A" w:rsidRDefault="00D118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154C" w14:textId="511DFB5C" w:rsidR="00D1183A" w:rsidRPr="00F20079" w:rsidRDefault="00D1183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D1183A" w:rsidRDefault="00D1183A">
    <w:pPr>
      <w:pStyle w:val="Stopk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8E3CF" w14:textId="77777777"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D1183A" w:rsidRDefault="00D11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D92B8" w14:textId="77777777" w:rsidR="00EC0DE3" w:rsidRDefault="00EC0DE3" w:rsidP="009D490C">
      <w:r>
        <w:separator/>
      </w:r>
    </w:p>
  </w:footnote>
  <w:footnote w:type="continuationSeparator" w:id="0">
    <w:p w14:paraId="69B96082" w14:textId="77777777" w:rsidR="00EC0DE3" w:rsidRDefault="00EC0DE3" w:rsidP="009D490C">
      <w:r>
        <w:continuationSeparator/>
      </w:r>
    </w:p>
  </w:footnote>
  <w:footnote w:type="continuationNotice" w:id="1">
    <w:p w14:paraId="41B5F4E4" w14:textId="77777777" w:rsidR="00EC0DE3" w:rsidRDefault="00EC0DE3"/>
  </w:footnote>
  <w:footnote w:id="2">
    <w:p w14:paraId="04EAFB0D" w14:textId="77777777" w:rsidR="00D1183A" w:rsidRPr="00511619" w:rsidRDefault="00D1183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0" w:name="_Hlk142046897"/>
      <w:r w:rsidRPr="00511619">
        <w:rPr>
          <w:rFonts w:ascii="Arial" w:hAnsi="Arial" w:cs="Arial"/>
          <w:sz w:val="16"/>
          <w:szCs w:val="16"/>
        </w:rPr>
        <w:t xml:space="preserve">i miejsce zawarcia umowy w formie pisemnej. </w:t>
      </w:r>
      <w:bookmarkEnd w:id="0"/>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Partnerem/ami wskazanymi we wniosku. </w:t>
      </w:r>
    </w:p>
  </w:footnote>
  <w:footnote w:id="6">
    <w:p w14:paraId="3F51984A" w14:textId="77777777" w:rsidR="00D1183A" w:rsidRPr="00511619" w:rsidRDefault="00D1183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„Panią/nem…….., zamieszkałą/ym na ul. ………., prowadzącą/ym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D1183A" w:rsidRPr="00511619" w:rsidRDefault="00D1183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D1183A" w:rsidRPr="00511619" w:rsidRDefault="00D1183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D1183A" w:rsidRPr="00511619" w:rsidRDefault="00D1183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D1183A" w:rsidRPr="00511619" w:rsidRDefault="00D1183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pomoc de minimis</w:t>
      </w:r>
      <w:r w:rsidRPr="00511619">
        <w:rPr>
          <w:rFonts w:ascii="Arial" w:hAnsi="Arial" w:cs="Arial"/>
          <w:sz w:val="16"/>
          <w:szCs w:val="16"/>
        </w:rPr>
        <w:t>.</w:t>
      </w:r>
    </w:p>
  </w:footnote>
  <w:footnote w:id="30">
    <w:p w14:paraId="57A3951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D1183A" w:rsidRPr="00511619" w:rsidRDefault="00D1183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8" w:name="_Hlk20992291"/>
      <w:r w:rsidRPr="00511619">
        <w:rPr>
          <w:i/>
          <w:iCs/>
          <w:sz w:val="16"/>
          <w:szCs w:val="16"/>
        </w:rPr>
        <w:t>Wytycznych dotyczących kwalifikowalności</w:t>
      </w:r>
      <w:bookmarkEnd w:id="18"/>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D1183A" w:rsidRPr="00511619" w:rsidRDefault="00D1183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D1183A" w:rsidRPr="00511619" w:rsidRDefault="00D1183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D1183A" w:rsidRPr="00511619" w:rsidRDefault="00D1183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D1183A" w:rsidRPr="00511619" w:rsidRDefault="00D1183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D1183A" w:rsidRPr="00511619" w:rsidRDefault="00D1183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2"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2"/>
    </w:p>
  </w:footnote>
  <w:footnote w:id="51">
    <w:p w14:paraId="38BE028E"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D1183A" w:rsidRPr="00511619" w:rsidRDefault="00D1183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D1183A" w:rsidRPr="00511619" w:rsidRDefault="00D1183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5" w:name="_Hlk136333174"/>
      <w:r w:rsidRPr="00511619">
        <w:rPr>
          <w:rFonts w:ascii="Arial" w:hAnsi="Arial" w:cs="Arial"/>
          <w:sz w:val="16"/>
          <w:szCs w:val="16"/>
        </w:rPr>
        <w:t>Dotyczy przypadku, gdy Projekt jest realizowany w ramach partnerstwa. Wykreślić jeśli nie dotyczy.</w:t>
      </w:r>
      <w:bookmarkEnd w:id="35"/>
    </w:p>
  </w:footnote>
  <w:footnote w:id="58">
    <w:p w14:paraId="0E06E19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62">
    <w:p w14:paraId="1104ADE6"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ufp  z obowiązku ustanawiania zabezpieczenia wykonania umowy.</w:t>
      </w:r>
    </w:p>
  </w:footnote>
  <w:footnote w:id="75">
    <w:p w14:paraId="48CE1B0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D1183A" w:rsidRPr="00511619" w:rsidRDefault="00D1183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78">
    <w:p w14:paraId="303C77F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D1183A" w:rsidRPr="00511619" w:rsidRDefault="00D1183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D1183A" w:rsidRPr="00511619" w:rsidRDefault="00D1183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D1183A" w:rsidRPr="00511619" w:rsidRDefault="00D1183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2" w:name="_Hlk135300086"/>
      <w:r w:rsidRPr="00511619">
        <w:rPr>
          <w:rFonts w:ascii="Arial" w:hAnsi="Arial" w:cs="Arial"/>
          <w:sz w:val="16"/>
          <w:szCs w:val="16"/>
        </w:rPr>
        <w:t>W uzasadnionych przypadkach należy dokonać modyfikacji zapisów zgodnie z uwarunkowaniami dla konkretnego naboru.</w:t>
      </w:r>
    </w:p>
    <w:bookmarkEnd w:id="42"/>
  </w:footnote>
  <w:footnote w:id="91">
    <w:p w14:paraId="61735C8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D1183A" w:rsidRPr="00511619" w:rsidRDefault="00D1183A" w:rsidP="004B04BC">
      <w:pPr>
        <w:pStyle w:val="Default"/>
        <w:jc w:val="both"/>
        <w:rPr>
          <w:sz w:val="16"/>
          <w:szCs w:val="16"/>
        </w:rPr>
      </w:pPr>
      <w:r w:rsidRPr="00511619">
        <w:rPr>
          <w:rStyle w:val="Odwoanieprzypisudolnego"/>
          <w:sz w:val="16"/>
          <w:szCs w:val="16"/>
        </w:rPr>
        <w:footnoteRef/>
      </w:r>
      <w:bookmarkStart w:id="45" w:name="_Hlk122348012"/>
      <w:r w:rsidRPr="00511619">
        <w:rPr>
          <w:sz w:val="16"/>
          <w:szCs w:val="16"/>
        </w:rPr>
        <w:t xml:space="preserve"> Projekt, który wnosi znaczący wkład w osiąganie celów programu i który podlega szczególnym środkom dotyczącym monitorowania i komunikacji. </w:t>
      </w:r>
    </w:p>
    <w:bookmarkEnd w:id="45"/>
  </w:footnote>
  <w:footnote w:id="97">
    <w:p w14:paraId="23315D6E"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D1183A" w:rsidRPr="00511619" w:rsidRDefault="00D1183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D1183A" w:rsidRPr="00511619" w:rsidRDefault="00D1183A" w:rsidP="004B04BC">
      <w:pPr>
        <w:pStyle w:val="Tekstprzypisudolnego"/>
        <w:rPr>
          <w:rFonts w:ascii="Arial" w:hAnsi="Arial" w:cs="Arial"/>
          <w:sz w:val="16"/>
          <w:szCs w:val="16"/>
        </w:rPr>
      </w:pPr>
    </w:p>
  </w:footnote>
  <w:footnote w:id="101">
    <w:p w14:paraId="70D65F3F"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D1183A" w:rsidRPr="00511619" w:rsidRDefault="00D1183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(t.j.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DE4D63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6">
    <w:p w14:paraId="5EFB9C3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1" w:name="_Hlk120664977"/>
      <w:r w:rsidRPr="00511619">
        <w:rPr>
          <w:rFonts w:ascii="Arial" w:hAnsi="Arial" w:cs="Arial"/>
          <w:sz w:val="16"/>
          <w:szCs w:val="16"/>
        </w:rPr>
        <w:t>Dotyczy przypadku, gdy Projekt jest realizowany w ramach partnerstwa.</w:t>
      </w:r>
      <w:bookmarkEnd w:id="51"/>
      <w:r w:rsidRPr="00511619">
        <w:rPr>
          <w:rFonts w:ascii="Arial" w:hAnsi="Arial" w:cs="Arial"/>
          <w:sz w:val="16"/>
          <w:szCs w:val="16"/>
        </w:rPr>
        <w:t xml:space="preserve"> Wykreślić jeśli nie dotyczy.</w:t>
      </w:r>
    </w:p>
  </w:footnote>
  <w:footnote w:id="117">
    <w:p w14:paraId="75A55481"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62A7C73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599311B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1">
    <w:p w14:paraId="77609A90"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3">
    <w:p w14:paraId="0847E954" w14:textId="77777777" w:rsidR="00D1183A" w:rsidRPr="00511619" w:rsidRDefault="00D1183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4">
    <w:p w14:paraId="49CEF2D0"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3" w:name="_Hlk15044123"/>
      <w:r w:rsidRPr="00511619">
        <w:rPr>
          <w:rFonts w:ascii="Arial" w:hAnsi="Arial" w:cs="Arial"/>
          <w:sz w:val="16"/>
          <w:szCs w:val="16"/>
        </w:rPr>
        <w:t>Nie dotyczy podmiotów będących jsfp.</w:t>
      </w:r>
      <w:bookmarkEnd w:id="53"/>
    </w:p>
  </w:footnote>
  <w:footnote w:id="125">
    <w:p w14:paraId="2345F15A" w14:textId="77777777" w:rsidR="00D1183A" w:rsidRPr="00511619" w:rsidRDefault="00D1183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6">
    <w:p w14:paraId="4D48D0BA" w14:textId="77777777" w:rsidR="00D1183A" w:rsidRPr="00511619" w:rsidRDefault="00D1183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7">
    <w:p w14:paraId="7D7C50E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8">
    <w:p w14:paraId="253885E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9">
    <w:p w14:paraId="04751289"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34531CBA"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1">
    <w:p w14:paraId="4156711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2">
    <w:p w14:paraId="2C3DCA4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6" w:name="_Hlk124760710"/>
      <w:r w:rsidRPr="00511619">
        <w:rPr>
          <w:rFonts w:ascii="Arial" w:hAnsi="Arial" w:cs="Arial"/>
          <w:sz w:val="16"/>
          <w:szCs w:val="16"/>
        </w:rPr>
        <w:t xml:space="preserve">Harmonogram płatności powinien zostać sporządzony w ujęciu maksymalnie trzymiesięcznym </w:t>
      </w:r>
      <w:bookmarkEnd w:id="56"/>
      <w:r w:rsidRPr="00511619">
        <w:rPr>
          <w:rFonts w:ascii="Arial" w:hAnsi="Arial" w:cs="Arial"/>
          <w:sz w:val="16"/>
          <w:szCs w:val="16"/>
        </w:rPr>
        <w:t xml:space="preserve">. Istnieje możliwość rozbicia harmonogramu na miesiące kalendarzowe. </w:t>
      </w:r>
    </w:p>
  </w:footnote>
  <w:footnote w:id="134">
    <w:p w14:paraId="6835AC2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5">
    <w:p w14:paraId="6E19CB8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6">
    <w:p w14:paraId="6EA2BE5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7">
    <w:p w14:paraId="746CA21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8">
    <w:p w14:paraId="0694074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0">
    <w:p w14:paraId="1E23E38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75317381"/>
      <w:r w:rsidRPr="00511619">
        <w:rPr>
          <w:rFonts w:ascii="Arial" w:hAnsi="Arial" w:cs="Arial"/>
          <w:sz w:val="16"/>
          <w:szCs w:val="16"/>
        </w:rPr>
        <w:t>Kwotę transzy, o którą Beneficjent będzie wnioskował należy wpisać w tym samym wierszu, co wniosek, którym będzie wnioskował</w:t>
      </w:r>
      <w:bookmarkEnd w:id="57"/>
      <w:r w:rsidRPr="00511619">
        <w:rPr>
          <w:rFonts w:ascii="Arial" w:hAnsi="Arial" w:cs="Arial"/>
          <w:sz w:val="16"/>
          <w:szCs w:val="16"/>
        </w:rPr>
        <w:t>.</w:t>
      </w:r>
    </w:p>
  </w:footnote>
  <w:footnote w:id="142">
    <w:p w14:paraId="61DD95B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D1183A" w:rsidRPr="00511619" w:rsidRDefault="00D1183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7">
    <w:p w14:paraId="01C169FC" w14:textId="07676FDA"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8">
    <w:p w14:paraId="04057555" w14:textId="77777777" w:rsidR="00D1183A" w:rsidRPr="00511619" w:rsidRDefault="00D1183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9">
    <w:p w14:paraId="0CECB704" w14:textId="2B8A7BAE"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0">
    <w:p w14:paraId="1F0D1382" w14:textId="2DBA0213"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1">
    <w:p w14:paraId="36D8484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2">
    <w:p w14:paraId="2258B8C9" w14:textId="77777777" w:rsidR="00D1183A" w:rsidRPr="00511619" w:rsidRDefault="00D1183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40B5C25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4">
    <w:p w14:paraId="17ECB2B0" w14:textId="6B2F8BEE" w:rsidR="00D1183A" w:rsidRPr="00511619" w:rsidRDefault="00D1183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D1183A" w:rsidRPr="00511619" w:rsidRDefault="00D1183A" w:rsidP="001E21D7">
      <w:pPr>
        <w:pStyle w:val="Default"/>
        <w:jc w:val="both"/>
        <w:rPr>
          <w:sz w:val="16"/>
          <w:szCs w:val="16"/>
        </w:rPr>
      </w:pPr>
      <w:r w:rsidRPr="00511619" w:rsidDel="001E21D7">
        <w:rPr>
          <w:b/>
          <w:bCs/>
          <w:sz w:val="16"/>
          <w:szCs w:val="16"/>
        </w:rPr>
        <w:t xml:space="preserve"> </w:t>
      </w:r>
    </w:p>
    <w:p w14:paraId="1A656890" w14:textId="77777777" w:rsidR="00D1183A" w:rsidRPr="00511619" w:rsidRDefault="00D1183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F9C04" w14:textId="77777777" w:rsidR="00D1183A" w:rsidRDefault="00D1183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A5E89" w14:textId="77777777" w:rsidR="00D1183A" w:rsidRPr="00801D11" w:rsidRDefault="00D1183A" w:rsidP="00801D1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A035D" w14:textId="77777777" w:rsidR="00D1183A" w:rsidRPr="0029038C" w:rsidRDefault="00D1183A" w:rsidP="00F53734">
    <w:pPr>
      <w:pStyle w:val="Nagwek"/>
    </w:pPr>
    <w:r w:rsidRPr="0029038C">
      <w:rPr>
        <w:rFonts w:ascii="Arial" w:hAnsi="Arial" w:cs="Arial"/>
        <w:sz w:val="20"/>
        <w:szCs w:val="20"/>
      </w:rPr>
      <w:t>……………………………………………………………..…………………. umieścić obowiązujący logotyp</w:t>
    </w:r>
  </w:p>
  <w:p w14:paraId="6D6FF873" w14:textId="77777777" w:rsidR="00D1183A" w:rsidRPr="00CA2BE2" w:rsidRDefault="00D1183A" w:rsidP="00D0584D">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969B7" w14:textId="77777777" w:rsidR="00D1183A" w:rsidRDefault="00D118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8424" w14:textId="0CCCD704" w:rsidR="00D1183A" w:rsidRPr="00CA2BE2" w:rsidRDefault="003E6EF3" w:rsidP="00D0584D">
    <w:pPr>
      <w:pStyle w:val="Nagwek"/>
      <w:rPr>
        <w:rFonts w:ascii="Arial" w:hAnsi="Arial" w:cs="Arial"/>
      </w:rPr>
    </w:pPr>
    <w:r>
      <w:rPr>
        <w:noProof/>
      </w:rPr>
      <w:drawing>
        <wp:inline distT="0" distB="0" distL="0" distR="0" wp14:anchorId="29617664" wp14:editId="32DE214E">
          <wp:extent cx="5759450" cy="418373"/>
          <wp:effectExtent l="0" t="0" r="0" b="1270"/>
          <wp:docPr id="1755680888" name="Obraz 1755680888"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18373"/>
                  </a:xfrm>
                  <a:prstGeom prst="rect">
                    <a:avLst/>
                  </a:prstGeom>
                  <a:noFill/>
                  <a:ln>
                    <a:noFill/>
                  </a:ln>
                </pic:spPr>
              </pic:pic>
            </a:graphicData>
          </a:graphic>
        </wp:inline>
      </w:drawing>
    </w:r>
  </w:p>
  <w:p w14:paraId="4D97FA37" w14:textId="77777777" w:rsidR="00D1183A" w:rsidRPr="00CA2BE2" w:rsidRDefault="00D1183A">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3780F" w14:textId="473E93DE" w:rsidR="00D1183A" w:rsidRPr="0029038C" w:rsidRDefault="00D1183A" w:rsidP="00964A92">
    <w:pPr>
      <w:pStyle w:val="Nagwek"/>
    </w:pPr>
    <w:r w:rsidRPr="0029038C">
      <w:rPr>
        <w:rFonts w:ascii="Arial" w:hAnsi="Arial" w:cs="Arial"/>
        <w:sz w:val="20"/>
        <w:szCs w:val="20"/>
      </w:rPr>
      <w:t>……………………………………………………………..…………………. umieścić obowiązujący logotyp</w:t>
    </w:r>
  </w:p>
  <w:p w14:paraId="0581D628" w14:textId="77777777" w:rsidR="00D1183A" w:rsidRPr="00801D11" w:rsidRDefault="00D1183A" w:rsidP="00A83B14">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33D5E" w14:textId="37BEE562" w:rsidR="00D1183A" w:rsidRPr="0029038C" w:rsidRDefault="00D1183A" w:rsidP="007B5291">
    <w:pPr>
      <w:pStyle w:val="Nagwek"/>
    </w:pPr>
    <w:r>
      <w:rPr>
        <w:rFonts w:ascii="Arial" w:hAnsi="Arial" w:cs="Arial"/>
        <w:sz w:val="20"/>
        <w:szCs w:val="20"/>
      </w:rPr>
      <w:t xml:space="preserve"> </w:t>
    </w:r>
  </w:p>
  <w:p w14:paraId="62BCF0FD" w14:textId="04C6A6E7" w:rsidR="00D1183A" w:rsidRPr="00801D11" w:rsidRDefault="00D1183A" w:rsidP="00A83B1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5E42F" w14:textId="77777777" w:rsidR="00D1183A" w:rsidRPr="0029038C" w:rsidRDefault="00D1183A" w:rsidP="00F53734">
    <w:pPr>
      <w:pStyle w:val="Nagwek"/>
    </w:pPr>
    <w:r w:rsidRPr="0029038C">
      <w:rPr>
        <w:rFonts w:ascii="Arial" w:hAnsi="Arial" w:cs="Arial"/>
        <w:sz w:val="20"/>
        <w:szCs w:val="20"/>
      </w:rPr>
      <w:t>……………………………………………………………..…………………. umieścić obowiązujący logotyp</w:t>
    </w:r>
  </w:p>
  <w:p w14:paraId="32DFA5CF" w14:textId="77777777" w:rsidR="00D1183A" w:rsidRPr="00CA2BE2" w:rsidRDefault="00D1183A" w:rsidP="00D0584D">
    <w:pPr>
      <w:pStyle w:val="Nagwek"/>
      <w:rPr>
        <w:rFonts w:ascii="Arial" w:hAnsi="Arial" w:cs="Arial"/>
      </w:rPr>
    </w:pPr>
  </w:p>
  <w:p w14:paraId="48E8BBA8" w14:textId="77777777" w:rsidR="00D1183A" w:rsidRPr="005734CB" w:rsidRDefault="00D1183A" w:rsidP="00F20079">
    <w:pPr>
      <w:pStyle w:val="Tekstpodstawowy"/>
      <w:spacing w:after="60"/>
      <w:jc w:val="center"/>
      <w:rPr>
        <w:rFonts w:ascii="Arial" w:hAnsi="Arial" w:cs="Arial"/>
        <w:i/>
        <w:noProof/>
        <w:sz w:val="20"/>
        <w:szCs w:val="20"/>
      </w:rPr>
    </w:pPr>
  </w:p>
  <w:p w14:paraId="2374047C" w14:textId="77777777" w:rsidR="00D1183A" w:rsidRPr="00CA2BE2" w:rsidRDefault="00D1183A">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E4A5" w14:textId="77777777" w:rsidR="00D1183A" w:rsidRPr="0029038C" w:rsidRDefault="00D1183A" w:rsidP="00F53734">
    <w:pPr>
      <w:pStyle w:val="Nagwek"/>
    </w:pPr>
    <w:bookmarkStart w:id="61" w:name="_Hlk197517000"/>
    <w:r w:rsidRPr="0029038C">
      <w:rPr>
        <w:rFonts w:ascii="Arial" w:hAnsi="Arial" w:cs="Arial"/>
        <w:sz w:val="20"/>
        <w:szCs w:val="20"/>
      </w:rPr>
      <w:t>……………………………………………………………..…………………. umieścić obowiązujący logotyp</w:t>
    </w:r>
  </w:p>
  <w:bookmarkEnd w:id="61"/>
  <w:p w14:paraId="3D75587F" w14:textId="77777777" w:rsidR="00D1183A" w:rsidRPr="00CA2BE2" w:rsidRDefault="00D1183A">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F36" w14:textId="77777777" w:rsidR="00D1183A" w:rsidRPr="0029038C" w:rsidRDefault="00D1183A" w:rsidP="00F53734">
    <w:pPr>
      <w:pStyle w:val="Nagwek"/>
    </w:pPr>
    <w:r w:rsidRPr="0029038C">
      <w:rPr>
        <w:rFonts w:ascii="Arial" w:hAnsi="Arial" w:cs="Arial"/>
        <w:sz w:val="20"/>
        <w:szCs w:val="20"/>
      </w:rPr>
      <w:t>……………………………………………………………..…………………. umieścić obowiązujący logotyp</w:t>
    </w:r>
  </w:p>
  <w:p w14:paraId="0B949925" w14:textId="77777777" w:rsidR="00D1183A" w:rsidRPr="00801D11" w:rsidRDefault="00D1183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69840" w14:textId="77777777" w:rsidR="00D1183A" w:rsidRPr="0029038C" w:rsidRDefault="00D1183A" w:rsidP="00F53734">
    <w:pPr>
      <w:pStyle w:val="Nagwek"/>
    </w:pPr>
    <w:r w:rsidRPr="0029038C">
      <w:rPr>
        <w:rFonts w:ascii="Arial" w:hAnsi="Arial" w:cs="Arial"/>
        <w:sz w:val="20"/>
        <w:szCs w:val="20"/>
      </w:rPr>
      <w:t>……………………………………………………………..…………………. umieścić obowiązujący logotyp</w:t>
    </w:r>
  </w:p>
  <w:p w14:paraId="46FB8B44" w14:textId="77777777" w:rsidR="00D1183A" w:rsidRPr="00CA2BE2" w:rsidRDefault="00D1183A"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039692901">
    <w:abstractNumId w:val="43"/>
  </w:num>
  <w:num w:numId="2" w16cid:durableId="806582052">
    <w:abstractNumId w:val="28"/>
  </w:num>
  <w:num w:numId="3" w16cid:durableId="929897386">
    <w:abstractNumId w:val="27"/>
  </w:num>
  <w:num w:numId="4" w16cid:durableId="909388380">
    <w:abstractNumId w:val="65"/>
  </w:num>
  <w:num w:numId="5" w16cid:durableId="865603999">
    <w:abstractNumId w:val="74"/>
  </w:num>
  <w:num w:numId="6" w16cid:durableId="2022658892">
    <w:abstractNumId w:val="23"/>
  </w:num>
  <w:num w:numId="7" w16cid:durableId="1044329354">
    <w:abstractNumId w:val="63"/>
  </w:num>
  <w:num w:numId="8" w16cid:durableId="1659386262">
    <w:abstractNumId w:val="53"/>
  </w:num>
  <w:num w:numId="9" w16cid:durableId="2083597334">
    <w:abstractNumId w:val="76"/>
  </w:num>
  <w:num w:numId="10" w16cid:durableId="985084278">
    <w:abstractNumId w:val="66"/>
  </w:num>
  <w:num w:numId="11" w16cid:durableId="2019772950">
    <w:abstractNumId w:val="99"/>
  </w:num>
  <w:num w:numId="12" w16cid:durableId="171378531">
    <w:abstractNumId w:val="33"/>
  </w:num>
  <w:num w:numId="13" w16cid:durableId="1319192303">
    <w:abstractNumId w:val="64"/>
  </w:num>
  <w:num w:numId="14" w16cid:durableId="2135635178">
    <w:abstractNumId w:val="78"/>
  </w:num>
  <w:num w:numId="15" w16cid:durableId="47265060">
    <w:abstractNumId w:val="91"/>
  </w:num>
  <w:num w:numId="16" w16cid:durableId="498275090">
    <w:abstractNumId w:val="40"/>
  </w:num>
  <w:num w:numId="17" w16cid:durableId="1110130433">
    <w:abstractNumId w:val="25"/>
  </w:num>
  <w:num w:numId="18" w16cid:durableId="2063360305">
    <w:abstractNumId w:val="101"/>
  </w:num>
  <w:num w:numId="19" w16cid:durableId="656155181">
    <w:abstractNumId w:val="97"/>
  </w:num>
  <w:num w:numId="20" w16cid:durableId="258414331">
    <w:abstractNumId w:val="71"/>
  </w:num>
  <w:num w:numId="21" w16cid:durableId="207030809">
    <w:abstractNumId w:val="61"/>
  </w:num>
  <w:num w:numId="22" w16cid:durableId="1974752292">
    <w:abstractNumId w:val="35"/>
  </w:num>
  <w:num w:numId="23" w16cid:durableId="249119831">
    <w:abstractNumId w:val="62"/>
  </w:num>
  <w:num w:numId="24" w16cid:durableId="2099907065">
    <w:abstractNumId w:val="57"/>
  </w:num>
  <w:num w:numId="25" w16cid:durableId="902066511">
    <w:abstractNumId w:val="38"/>
  </w:num>
  <w:num w:numId="26" w16cid:durableId="1925338216">
    <w:abstractNumId w:val="19"/>
  </w:num>
  <w:num w:numId="27" w16cid:durableId="1542160287">
    <w:abstractNumId w:val="56"/>
  </w:num>
  <w:num w:numId="28" w16cid:durableId="491681066">
    <w:abstractNumId w:val="100"/>
  </w:num>
  <w:num w:numId="29" w16cid:durableId="514151946">
    <w:abstractNumId w:val="22"/>
  </w:num>
  <w:num w:numId="30" w16cid:durableId="1577520953">
    <w:abstractNumId w:val="85"/>
  </w:num>
  <w:num w:numId="31" w16cid:durableId="208222622">
    <w:abstractNumId w:val="30"/>
  </w:num>
  <w:num w:numId="32" w16cid:durableId="1896508271">
    <w:abstractNumId w:val="47"/>
  </w:num>
  <w:num w:numId="33" w16cid:durableId="1280332388">
    <w:abstractNumId w:val="59"/>
  </w:num>
  <w:num w:numId="34" w16cid:durableId="285964584">
    <w:abstractNumId w:val="54"/>
  </w:num>
  <w:num w:numId="35" w16cid:durableId="489520432">
    <w:abstractNumId w:val="51"/>
  </w:num>
  <w:num w:numId="36" w16cid:durableId="471946495">
    <w:abstractNumId w:val="86"/>
  </w:num>
  <w:num w:numId="37" w16cid:durableId="1634629530">
    <w:abstractNumId w:val="79"/>
  </w:num>
  <w:num w:numId="38" w16cid:durableId="1656566508">
    <w:abstractNumId w:val="69"/>
  </w:num>
  <w:num w:numId="39" w16cid:durableId="303052010">
    <w:abstractNumId w:val="34"/>
  </w:num>
  <w:num w:numId="40" w16cid:durableId="219707121">
    <w:abstractNumId w:val="45"/>
  </w:num>
  <w:num w:numId="41" w16cid:durableId="1695499869">
    <w:abstractNumId w:val="58"/>
  </w:num>
  <w:num w:numId="42" w16cid:durableId="1553541372">
    <w:abstractNumId w:val="94"/>
  </w:num>
  <w:num w:numId="43" w16cid:durableId="1384796642">
    <w:abstractNumId w:val="83"/>
  </w:num>
  <w:num w:numId="44" w16cid:durableId="512188581">
    <w:abstractNumId w:val="24"/>
  </w:num>
  <w:num w:numId="45" w16cid:durableId="872616300">
    <w:abstractNumId w:val="68"/>
  </w:num>
  <w:num w:numId="46" w16cid:durableId="22562381">
    <w:abstractNumId w:val="81"/>
  </w:num>
  <w:num w:numId="47" w16cid:durableId="708650526">
    <w:abstractNumId w:val="70"/>
  </w:num>
  <w:num w:numId="48" w16cid:durableId="1388189710">
    <w:abstractNumId w:val="37"/>
  </w:num>
  <w:num w:numId="49" w16cid:durableId="1007174411">
    <w:abstractNumId w:val="41"/>
  </w:num>
  <w:num w:numId="50" w16cid:durableId="511922265">
    <w:abstractNumId w:val="42"/>
  </w:num>
  <w:num w:numId="51" w16cid:durableId="1470824542">
    <w:abstractNumId w:val="87"/>
  </w:num>
  <w:num w:numId="52" w16cid:durableId="398594457">
    <w:abstractNumId w:val="95"/>
  </w:num>
  <w:num w:numId="53" w16cid:durableId="1771311943">
    <w:abstractNumId w:val="96"/>
  </w:num>
  <w:num w:numId="54" w16cid:durableId="1320310681">
    <w:abstractNumId w:val="55"/>
  </w:num>
  <w:num w:numId="55" w16cid:durableId="885145444">
    <w:abstractNumId w:val="21"/>
  </w:num>
  <w:num w:numId="56" w16cid:durableId="38625879">
    <w:abstractNumId w:val="72"/>
  </w:num>
  <w:num w:numId="57" w16cid:durableId="106435350">
    <w:abstractNumId w:val="73"/>
  </w:num>
  <w:num w:numId="58" w16cid:durableId="1368408922">
    <w:abstractNumId w:val="13"/>
  </w:num>
  <w:num w:numId="59" w16cid:durableId="972712938">
    <w:abstractNumId w:val="31"/>
  </w:num>
  <w:num w:numId="60" w16cid:durableId="1701853001">
    <w:abstractNumId w:val="89"/>
  </w:num>
  <w:num w:numId="61" w16cid:durableId="1876692871">
    <w:abstractNumId w:val="26"/>
  </w:num>
  <w:num w:numId="62" w16cid:durableId="714046601">
    <w:abstractNumId w:val="46"/>
  </w:num>
  <w:num w:numId="63" w16cid:durableId="1759206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23203373">
    <w:abstractNumId w:val="50"/>
  </w:num>
  <w:num w:numId="65" w16cid:durableId="144860578">
    <w:abstractNumId w:val="88"/>
  </w:num>
  <w:num w:numId="66" w16cid:durableId="812873315">
    <w:abstractNumId w:val="29"/>
  </w:num>
  <w:num w:numId="67" w16cid:durableId="1061832856">
    <w:abstractNumId w:val="93"/>
  </w:num>
  <w:num w:numId="68" w16cid:durableId="767385433">
    <w:abstractNumId w:val="49"/>
  </w:num>
  <w:num w:numId="69" w16cid:durableId="989477105">
    <w:abstractNumId w:val="82"/>
  </w:num>
  <w:num w:numId="70" w16cid:durableId="330065470">
    <w:abstractNumId w:val="98"/>
  </w:num>
  <w:num w:numId="71" w16cid:durableId="1782651425">
    <w:abstractNumId w:val="77"/>
  </w:num>
  <w:num w:numId="72" w16cid:durableId="263465891">
    <w:abstractNumId w:val="84"/>
  </w:num>
  <w:num w:numId="73" w16cid:durableId="1818449156">
    <w:abstractNumId w:val="36"/>
  </w:num>
  <w:num w:numId="74" w16cid:durableId="845511994">
    <w:abstractNumId w:val="20"/>
  </w:num>
  <w:num w:numId="75" w16cid:durableId="1252474603">
    <w:abstractNumId w:val="90"/>
  </w:num>
  <w:num w:numId="76" w16cid:durableId="784735137">
    <w:abstractNumId w:val="75"/>
  </w:num>
  <w:num w:numId="77" w16cid:durableId="1231620230">
    <w:abstractNumId w:val="48"/>
  </w:num>
  <w:num w:numId="78" w16cid:durableId="513304069">
    <w:abstractNumId w:val="92"/>
  </w:num>
  <w:num w:numId="79" w16cid:durableId="631180502">
    <w:abstractNumId w:val="39"/>
  </w:num>
  <w:num w:numId="80" w16cid:durableId="194642365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3693062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891308176">
    <w:abstractNumId w:val="32"/>
  </w:num>
  <w:num w:numId="83" w16cid:durableId="201321711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32663536">
    <w:abstractNumId w:val="44"/>
  </w:num>
  <w:num w:numId="85" w16cid:durableId="1814326709">
    <w:abstractNumId w:val="60"/>
  </w:num>
  <w:num w:numId="86" w16cid:durableId="2060275759">
    <w:abstractNumId w:val="52"/>
  </w:num>
  <w:num w:numId="87" w16cid:durableId="405033043">
    <w:abstractNumId w:val="80"/>
  </w:num>
  <w:num w:numId="88" w16cid:durableId="1066029288">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6EF3"/>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4AC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hyperlink" Target="https://funduszeue.wzp.pl/poradniki_lista/zasady-komunikacji/" TargetMode="External"/><Relationship Id="rId21" Type="http://schemas.openxmlformats.org/officeDocument/2006/relationships/header" Target="header6.xml"/><Relationship Id="rId34" Type="http://schemas.openxmlformats.org/officeDocument/2006/relationships/image" Target="media/image9.png"/><Relationship Id="rId42" Type="http://schemas.openxmlformats.org/officeDocument/2006/relationships/header" Target="head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header" Target="header9.xml"/><Relationship Id="rId32" Type="http://schemas.openxmlformats.org/officeDocument/2006/relationships/image" Target="media/image7.png"/><Relationship Id="rId37" Type="http://schemas.openxmlformats.org/officeDocument/2006/relationships/hyperlink" Target="http://www.funduszeue.wzp.pl" TargetMode="Externa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yperlink" Target="http://www.mapadotacji.gov.pl" TargetMode="External"/><Relationship Id="rId36" Type="http://schemas.openxmlformats.org/officeDocument/2006/relationships/hyperlink" Target="http://www.funduszeeuropejskie.gov.pl" TargetMode="External"/><Relationship Id="rId10" Type="http://schemas.openxmlformats.org/officeDocument/2006/relationships/hyperlink" Target="mailto:EMPL-B5-UNIT@ec.europa.eu" TargetMode="External"/><Relationship Id="rId19" Type="http://schemas.openxmlformats.org/officeDocument/2006/relationships/header" Target="header4.xml"/><Relationship Id="rId31" Type="http://schemas.openxmlformats.org/officeDocument/2006/relationships/hyperlink" Target="http://www.mapadotacji.gov.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image" Target="media/image4.png"/><Relationship Id="rId30" Type="http://schemas.openxmlformats.org/officeDocument/2006/relationships/image" Target="media/image6.png"/><Relationship Id="rId35" Type="http://schemas.openxmlformats.org/officeDocument/2006/relationships/image" Target="media/image10.jpeg"/><Relationship Id="rId43" Type="http://schemas.openxmlformats.org/officeDocument/2006/relationships/hyperlink" Target="http://www.sl.gofin.pl/ustawa-z-dnia-29091994-r-o-rachunkowosci,i1n5pnz03,1.html"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8.png"/><Relationship Id="rId38" Type="http://schemas.openxmlformats.org/officeDocument/2006/relationships/hyperlink" Target="https://www.funduszeeuropejskie.gov.pl/strony/o-funduszach/fundusze-2021-2027/prawo-i-dokumenty/zasady-komunikacji-fe/" TargetMode="External"/><Relationship Id="rId20" Type="http://schemas.openxmlformats.org/officeDocument/2006/relationships/header" Target="header5.xml"/><Relationship Id="rId41"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980BA-A1EF-482C-811B-674EF795B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60</Pages>
  <Words>22101</Words>
  <Characters>132610</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154403</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Kużdowicz Justyna</cp:lastModifiedBy>
  <cp:revision>10</cp:revision>
  <cp:lastPrinted>2025-08-08T08:53:00Z</cp:lastPrinted>
  <dcterms:created xsi:type="dcterms:W3CDTF">2025-08-14T09:36:00Z</dcterms:created>
  <dcterms:modified xsi:type="dcterms:W3CDTF">2025-09-17T06:47:00Z</dcterms:modified>
</cp:coreProperties>
</file>